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7444C" w:rsidRPr="00E7444C" w14:paraId="795BD260" w14:textId="77777777" w:rsidTr="00E7444C">
        <w:tc>
          <w:tcPr>
            <w:tcW w:w="1946" w:type="dxa"/>
          </w:tcPr>
          <w:p w14:paraId="00FFDF1A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674B3EBF" w:rsidR="00E7444C" w:rsidRPr="00E7444C" w:rsidRDefault="002438F3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Darktable</w:t>
            </w:r>
          </w:p>
        </w:tc>
      </w:tr>
      <w:tr w:rsidR="00E7444C" w:rsidRPr="00E7444C" w14:paraId="2DA0C89C" w14:textId="77777777" w:rsidTr="00E7444C">
        <w:tc>
          <w:tcPr>
            <w:tcW w:w="1946" w:type="dxa"/>
          </w:tcPr>
          <w:p w14:paraId="52A2B89E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36B4DC8E" w:rsidR="00E7444C" w:rsidRPr="00E7444C" w:rsidRDefault="002438F3" w:rsidP="00E7444C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Digitale Entwicklung von RAW-Aufnahmen</w:t>
            </w:r>
            <w:r>
              <w:rPr>
                <w:rFonts w:eastAsia="Calibri" w:cs="Calibri"/>
                <w:sz w:val="22"/>
                <w:szCs w:val="22"/>
                <w:lang w:eastAsia="en-US" w:bidi="ar-SA"/>
              </w:rPr>
              <w:softHyphen/>
              <w:t xml:space="preserve"> – Teil 2</w:t>
            </w:r>
          </w:p>
        </w:tc>
      </w:tr>
      <w:tr w:rsidR="00E7444C" w:rsidRPr="00E7444C" w14:paraId="20CDF77C" w14:textId="77777777" w:rsidTr="00E7444C">
        <w:tc>
          <w:tcPr>
            <w:tcW w:w="1946" w:type="dxa"/>
          </w:tcPr>
          <w:p w14:paraId="0C3CE61C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2639B36D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Bohrmann-Linde, Claudia</w:t>
            </w:r>
          </w:p>
        </w:tc>
      </w:tr>
      <w:tr w:rsidR="00E7444C" w:rsidRPr="00E7444C" w14:paraId="334867CB" w14:textId="77777777" w:rsidTr="00E7444C">
        <w:tc>
          <w:tcPr>
            <w:tcW w:w="1946" w:type="dxa"/>
          </w:tcPr>
          <w:p w14:paraId="189C09E5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44876CA2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Kremer, Richard; Meuter, Nico</w:t>
            </w:r>
          </w:p>
        </w:tc>
      </w:tr>
      <w:tr w:rsidR="00E7444C" w:rsidRPr="00E7444C" w14:paraId="2D69D71C" w14:textId="77777777" w:rsidTr="00E7444C">
        <w:tc>
          <w:tcPr>
            <w:tcW w:w="1946" w:type="dxa"/>
          </w:tcPr>
          <w:p w14:paraId="7BC29E73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1DA11127" w:rsidR="00E7444C" w:rsidRPr="00E7444C" w:rsidRDefault="002438F3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2022.03.21</w:t>
            </w:r>
          </w:p>
        </w:tc>
      </w:tr>
      <w:tr w:rsidR="00E7444C" w:rsidRPr="00E7444C" w14:paraId="03D6C268" w14:textId="77777777" w:rsidTr="00E7444C">
        <w:tc>
          <w:tcPr>
            <w:tcW w:w="1946" w:type="dxa"/>
          </w:tcPr>
          <w:p w14:paraId="506E0D89" w14:textId="77777777" w:rsidR="00E7444C" w:rsidRPr="00E7444C" w:rsidRDefault="00E7444C" w:rsidP="00E744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50AFA427" w:rsidR="00E7444C" w:rsidRPr="00E7444C" w:rsidRDefault="002438F3" w:rsidP="00E7444C">
            <w:pPr>
              <w:widowControl w:val="0"/>
              <w:spacing w:line="276" w:lineRule="auto"/>
              <w:rPr>
                <w:rFonts w:cs="Calibri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Die Studierenden lernen den Umgang mit einem Programm zur digitalen Entwicklung von Foto-Aufnahmen – Belichtungsanpassung, Schatten- und Spitzlichterbearbeitung</w:t>
            </w:r>
          </w:p>
        </w:tc>
      </w:tr>
    </w:tbl>
    <w:p w14:paraId="60ECD1B7" w14:textId="77777777" w:rsidR="001947EB" w:rsidRPr="00E7444C" w:rsidRDefault="001947EB"/>
    <w:p w14:paraId="783653AF" w14:textId="77777777" w:rsidR="001947EB" w:rsidRPr="00E7444C" w:rsidRDefault="00D407C5">
      <w:pPr>
        <w:pStyle w:val="berschrift2"/>
        <w:spacing w:after="120"/>
        <w:rPr>
          <w:rFonts w:ascii="Liberation Serif" w:hAnsi="Liberation Serif"/>
        </w:rPr>
      </w:pPr>
      <w:r w:rsidRPr="00E7444C">
        <w:rPr>
          <w:rFonts w:ascii="Liberation Serif" w:hAnsi="Liberation Serif"/>
        </w:rP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:rsidRPr="00E7444C" w14:paraId="5C1F37E8" w14:textId="77777777">
        <w:tc>
          <w:tcPr>
            <w:tcW w:w="532" w:type="dxa"/>
          </w:tcPr>
          <w:p w14:paraId="57356A97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Pr="00E7444C" w:rsidRDefault="00D407C5">
            <w:pPr>
              <w:widowControl w:val="0"/>
              <w:spacing w:line="276" w:lineRule="auto"/>
              <w:rPr>
                <w:b/>
              </w:rPr>
            </w:pPr>
            <w:r w:rsidRPr="00E7444C"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AC446B" w:rsidRPr="00E7444C" w14:paraId="6379D829" w14:textId="77777777" w:rsidTr="00AC446B">
        <w:trPr>
          <w:trHeight w:val="77"/>
        </w:trPr>
        <w:tc>
          <w:tcPr>
            <w:tcW w:w="532" w:type="dxa"/>
          </w:tcPr>
          <w:p w14:paraId="060ADC3E" w14:textId="77777777" w:rsidR="00AC446B" w:rsidRPr="00E7444C" w:rsidRDefault="00AC446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9AFF3D0" w14:textId="575F43CB" w:rsidR="00AC446B" w:rsidRPr="00E7444C" w:rsidRDefault="00AC446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Teaser/Intro</w:t>
            </w:r>
          </w:p>
        </w:tc>
        <w:tc>
          <w:tcPr>
            <w:tcW w:w="9639" w:type="dxa"/>
          </w:tcPr>
          <w:p w14:paraId="1E2962BC" w14:textId="7CCEDB6D" w:rsidR="00AC446B" w:rsidRPr="00E7444C" w:rsidRDefault="00D15287" w:rsidP="00E7444C">
            <w:pPr>
              <w:spacing w:line="276" w:lineRule="auto"/>
              <w:rPr>
                <w:rFonts w:cs="Calibri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Digitale </w:t>
            </w:r>
            <w:r w:rsidR="002438F3">
              <w:rPr>
                <w:rFonts w:eastAsia="Calibri" w:cs="Calibri"/>
                <w:sz w:val="22"/>
                <w:szCs w:val="22"/>
                <w:lang w:eastAsia="en-US" w:bidi="ar-SA"/>
              </w:rPr>
              <w:t>Entwicklung von RAW-Aufnahmen</w:t>
            </w:r>
            <w:r w:rsidR="002438F3">
              <w:rPr>
                <w:rFonts w:eastAsia="Calibri" w:cs="Calibri"/>
                <w:sz w:val="22"/>
                <w:szCs w:val="22"/>
                <w:lang w:eastAsia="en-US" w:bidi="ar-SA"/>
              </w:rPr>
              <w:softHyphen/>
              <w:t xml:space="preserve"> – Teil 2</w:t>
            </w:r>
          </w:p>
        </w:tc>
        <w:tc>
          <w:tcPr>
            <w:tcW w:w="1417" w:type="dxa"/>
          </w:tcPr>
          <w:p w14:paraId="34BD768D" w14:textId="77777777" w:rsidR="00AC446B" w:rsidRPr="00E7444C" w:rsidRDefault="00AC446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20C67010" w:rsidR="00E7444C" w:rsidRPr="00E7444C" w:rsidRDefault="002438F3" w:rsidP="009E4869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cs="Calibri"/>
              </w:rPr>
              <w:t>Hallo, in diesem DigiChem-Video lernst Du, wie</w:t>
            </w:r>
            <w:r>
              <w:t xml:space="preserve"> du mit Hilfe des Programms Darktable ein Foto entwickelst</w:t>
            </w:r>
            <w:r>
              <w:rPr>
                <w:rFonts w:cs="Calibri"/>
              </w:rPr>
              <w:t>, indem du die Belichtung, die Schatten sowie die Spritzlichter nachbearbeitest.</w:t>
            </w:r>
          </w:p>
        </w:tc>
        <w:tc>
          <w:tcPr>
            <w:tcW w:w="1417" w:type="dxa"/>
          </w:tcPr>
          <w:p w14:paraId="1C1C7B04" w14:textId="77777777" w:rsidR="001947EB" w:rsidRPr="00E7444C" w:rsidRDefault="001947E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154605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227329A6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37D719DA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506E6FA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123373E1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4D21A9C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1AFE5F6A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160EF95D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E0B39D6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575F3C8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673C13B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Tipp-Avatar</w:t>
            </w:r>
          </w:p>
          <w:p w14:paraId="7EDAADE4" w14:textId="77777777" w:rsidR="002438F3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5C683E4" w14:textId="64171A14" w:rsidR="002438F3" w:rsidRPr="00E7444C" w:rsidRDefault="002438F3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Hinweis-Avatar</w:t>
            </w:r>
          </w:p>
        </w:tc>
        <w:tc>
          <w:tcPr>
            <w:tcW w:w="9639" w:type="dxa"/>
          </w:tcPr>
          <w:p w14:paraId="44AEAEDC" w14:textId="44C80A6D" w:rsidR="002438F3" w:rsidRDefault="002438F3" w:rsidP="002438F3">
            <w:r>
              <w:lastRenderedPageBreak/>
              <w:t xml:space="preserve">Das Histogramm ist eine Darstellung der Farb- und Helligkeitsverteilung im Bild. Dieses findest du oben rechts im Programmfenster der Dunkelkammer. Auf der X-Achse wird die Helligkeit abgebildet und die Y-Achse gibt die bei den Helligkeiten vorkommende Farbhäufigkeit wieder. Im linken Bereich werden die dunkleren Stellen des Bildes abgebildet. Im rechten Bereich die Helleren. </w:t>
            </w:r>
          </w:p>
          <w:p w14:paraId="7C76FB52" w14:textId="77777777" w:rsidR="002438F3" w:rsidRDefault="002438F3" w:rsidP="002438F3"/>
          <w:p w14:paraId="7B946AFA" w14:textId="77777777" w:rsidR="002438F3" w:rsidRDefault="002438F3" w:rsidP="002438F3">
            <w:r>
              <w:t xml:space="preserve">Unter dem Punkt Belichtung kann mit dem Regler „Belichtungskorrektur“ die Verteilung angepasst werden. Wird der Regler zu höheren „Exposure Value“-Werten verschoben, wird das Bild insgesamt heller. Beim Verschieben zu niedrigen EV-Werten wird es entsprechend dunkler. </w:t>
            </w:r>
          </w:p>
          <w:p w14:paraId="28CDB8D4" w14:textId="6796B631" w:rsidR="002438F3" w:rsidRDefault="002438F3" w:rsidP="002438F3">
            <w:r w:rsidRPr="002438F3">
              <w:rPr>
                <w:b/>
              </w:rPr>
              <w:lastRenderedPageBreak/>
              <w:t>Mein Tipp:</w:t>
            </w:r>
            <w:r>
              <w:t xml:space="preserve"> Die Nutzung niedriger EV-Werte ist speziell bei zu hellen Bildern sinnvoll.</w:t>
            </w:r>
          </w:p>
          <w:p w14:paraId="77385283" w14:textId="77777777" w:rsidR="002438F3" w:rsidRDefault="002438F3" w:rsidP="002438F3"/>
          <w:p w14:paraId="03DB7C11" w14:textId="77777777" w:rsidR="002438F3" w:rsidRDefault="002438F3" w:rsidP="00F84096">
            <w:pPr>
              <w:spacing w:line="276" w:lineRule="auto"/>
            </w:pPr>
            <w:r>
              <w:t>Hinweis: Um möglichst alle Details des Bildes gut erkennen zu können, hilft es, dass sich ein Großteil des Histogramms in der Mitte befindet. Die Ränder sollten geringere Farbhäufigkeiten aufweisen.</w:t>
            </w:r>
          </w:p>
          <w:p w14:paraId="024276DD" w14:textId="76F082EC" w:rsidR="00F84096" w:rsidRPr="002438F3" w:rsidRDefault="00F84096" w:rsidP="00F84096">
            <w:pPr>
              <w:spacing w:line="276" w:lineRule="auto"/>
            </w:pPr>
          </w:p>
        </w:tc>
        <w:tc>
          <w:tcPr>
            <w:tcW w:w="1417" w:type="dxa"/>
          </w:tcPr>
          <w:p w14:paraId="4AD6A0DA" w14:textId="77777777" w:rsidR="001947EB" w:rsidRPr="00E7444C" w:rsidRDefault="001947E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Pr="00E7444C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A637C5E" w14:textId="77777777" w:rsidR="00F84096" w:rsidRDefault="00F84096" w:rsidP="00F84096">
            <w:r>
              <w:t xml:space="preserve">Zur Anpassung der Schatten und Spitzlichter wechselst du in den Reiter Farbkorrektur. Dieser befindet sich unter dem Histogramm auf der rechten oberen Seite des Programfensters. </w:t>
            </w:r>
          </w:p>
          <w:p w14:paraId="0EEA0B2E" w14:textId="77777777" w:rsidR="00F84096" w:rsidRDefault="00F84096" w:rsidP="00F84096"/>
          <w:p w14:paraId="030D06D5" w14:textId="17243B33" w:rsidR="00F84096" w:rsidRPr="00F84096" w:rsidRDefault="00F84096" w:rsidP="00F84096">
            <w:r>
              <w:t>Unter dem Punkt „Schatten und Spitzlichter“ lassen sich diese nun über die Regler einstellen.</w:t>
            </w:r>
          </w:p>
        </w:tc>
        <w:tc>
          <w:tcPr>
            <w:tcW w:w="1417" w:type="dxa"/>
          </w:tcPr>
          <w:p w14:paraId="25CBC1D8" w14:textId="77777777" w:rsidR="001947EB" w:rsidRPr="00E7444C" w:rsidRDefault="001947EB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:rsidRPr="00E7444C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1947EB" w:rsidRPr="00E7444C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C2EEE0C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58795595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541B68D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F68AEF2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461450F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AC4F198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3BED562E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4EDCE474" w14:textId="77777777" w:rsidR="00F84096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654BE5F" w14:textId="6DC7C082" w:rsidR="00F84096" w:rsidRPr="00E7444C" w:rsidRDefault="00F8409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Tipp-Avatar</w:t>
            </w:r>
          </w:p>
        </w:tc>
        <w:tc>
          <w:tcPr>
            <w:tcW w:w="9639" w:type="dxa"/>
          </w:tcPr>
          <w:p w14:paraId="60FA9E66" w14:textId="77777777" w:rsidR="00F84096" w:rsidRDefault="00F84096" w:rsidP="00F84096">
            <w:r>
              <w:t>Wird der Regler bei „Schatten“ in den niedrigen Bereich gezogen, so werden bereits dunklere Stellen im Bild nachgedunkelt. Bei Verschieben in den höheren Bereich hellst du diese Bereiche auf.</w:t>
            </w:r>
          </w:p>
          <w:p w14:paraId="099B8693" w14:textId="77777777" w:rsidR="00F84096" w:rsidRDefault="00F84096" w:rsidP="00F84096"/>
          <w:p w14:paraId="2E866EE0" w14:textId="77777777" w:rsidR="00F84096" w:rsidRDefault="00F84096" w:rsidP="00F84096">
            <w:r>
              <w:t>Wird der Regler bei „Lichter“ in den niedrigeren Bereich verschoben, so werden die vorwiegend hellen Bereiche des Bildes abgedunkelt. Entsprechend werden diese Stellen im höheren Bereich aufgehellt.</w:t>
            </w:r>
          </w:p>
          <w:p w14:paraId="76584710" w14:textId="77777777" w:rsidR="00F84096" w:rsidRDefault="00F84096" w:rsidP="00F84096"/>
          <w:p w14:paraId="33AB19CA" w14:textId="2734C8BA" w:rsidR="00F84096" w:rsidRDefault="00F84096" w:rsidP="00F84096">
            <w:r w:rsidRPr="00F84096">
              <w:rPr>
                <w:b/>
              </w:rPr>
              <w:t>Mein Tipp:</w:t>
            </w:r>
            <w:r>
              <w:t xml:space="preserve"> Schwach ausgeprägte Schatten eines bereits gut ausgeleuchteten Bildes lassen sich so noch einmal deutlich reduzieren.</w:t>
            </w:r>
          </w:p>
          <w:p w14:paraId="5E49B112" w14:textId="2C3854D9" w:rsidR="001947EB" w:rsidRPr="00E7444C" w:rsidRDefault="001947EB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4C1AF986" w14:textId="77777777" w:rsidR="001947EB" w:rsidRPr="00E7444C" w:rsidRDefault="001947EB">
            <w:pPr>
              <w:widowControl w:val="0"/>
              <w:spacing w:line="276" w:lineRule="auto"/>
              <w:jc w:val="center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</w:tr>
      <w:tr w:rsidR="0079304C" w:rsidRPr="00E7444C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79304C" w:rsidRPr="00E7444C" w:rsidRDefault="0079304C" w:rsidP="0079304C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79304C" w:rsidRPr="00E7444C" w:rsidRDefault="0079304C" w:rsidP="0079304C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2F26D754" w:rsidR="0079304C" w:rsidRPr="00E7444C" w:rsidRDefault="0079304C" w:rsidP="0079304C">
            <w:pPr>
              <w:spacing w:line="276" w:lineRule="auto"/>
            </w:pPr>
            <w:r>
              <w:t>In diesem DigiChem-Video hast du gelernt, wie du die Schatten, Spitzlichter und die allgemeine Belichtung anpasst.</w:t>
            </w:r>
          </w:p>
        </w:tc>
        <w:tc>
          <w:tcPr>
            <w:tcW w:w="1417" w:type="dxa"/>
          </w:tcPr>
          <w:p w14:paraId="3E268EAB" w14:textId="77777777" w:rsidR="0079304C" w:rsidRPr="00E7444C" w:rsidRDefault="0079304C" w:rsidP="0079304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E7444C">
              <w:rPr>
                <w:sz w:val="22"/>
              </w:rPr>
              <w:t>Ca. 01:42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C6AA" w14:textId="77777777" w:rsidR="000B5E2F" w:rsidRDefault="000B5E2F">
      <w:r>
        <w:separator/>
      </w:r>
    </w:p>
  </w:endnote>
  <w:endnote w:type="continuationSeparator" w:id="0">
    <w:p w14:paraId="35894A8E" w14:textId="77777777" w:rsidR="000B5E2F" w:rsidRDefault="000B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7E59" w14:textId="77777777" w:rsidR="000B5E2F" w:rsidRDefault="000B5E2F">
      <w:r>
        <w:separator/>
      </w:r>
    </w:p>
  </w:footnote>
  <w:footnote w:type="continuationSeparator" w:id="0">
    <w:p w14:paraId="2BB35BB8" w14:textId="77777777" w:rsidR="000B5E2F" w:rsidRDefault="000B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32A1AFAD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1214C">
      <w:rPr>
        <w:rFonts w:asciiTheme="minorHAnsi" w:hAnsiTheme="minorHAnsi" w:cstheme="minorHAnsi"/>
        <w:sz w:val="22"/>
      </w:rPr>
      <w:t>Richard Kremer und Nico Meuter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5E2F"/>
    <w:rsid w:val="00167107"/>
    <w:rsid w:val="00187B73"/>
    <w:rsid w:val="001947EB"/>
    <w:rsid w:val="002438F3"/>
    <w:rsid w:val="002E578D"/>
    <w:rsid w:val="002F2380"/>
    <w:rsid w:val="00325D8C"/>
    <w:rsid w:val="003328BA"/>
    <w:rsid w:val="00413E08"/>
    <w:rsid w:val="004D69C0"/>
    <w:rsid w:val="004E6A91"/>
    <w:rsid w:val="004E7B6E"/>
    <w:rsid w:val="00546F86"/>
    <w:rsid w:val="00631D01"/>
    <w:rsid w:val="006F0E86"/>
    <w:rsid w:val="006F7F85"/>
    <w:rsid w:val="0079304C"/>
    <w:rsid w:val="00827E5A"/>
    <w:rsid w:val="008F61E3"/>
    <w:rsid w:val="00934E6E"/>
    <w:rsid w:val="00984C73"/>
    <w:rsid w:val="009A4AF6"/>
    <w:rsid w:val="009E4869"/>
    <w:rsid w:val="00A05655"/>
    <w:rsid w:val="00A3793D"/>
    <w:rsid w:val="00A70637"/>
    <w:rsid w:val="00AC446B"/>
    <w:rsid w:val="00BB4908"/>
    <w:rsid w:val="00C14D01"/>
    <w:rsid w:val="00C62F05"/>
    <w:rsid w:val="00C97259"/>
    <w:rsid w:val="00C97308"/>
    <w:rsid w:val="00CF4E1B"/>
    <w:rsid w:val="00D018AA"/>
    <w:rsid w:val="00D15287"/>
    <w:rsid w:val="00D407C5"/>
    <w:rsid w:val="00E7444C"/>
    <w:rsid w:val="00F1214C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ChemDi-WL3</cp:lastModifiedBy>
  <cp:revision>7</cp:revision>
  <dcterms:created xsi:type="dcterms:W3CDTF">2022-12-13T08:04:00Z</dcterms:created>
  <dcterms:modified xsi:type="dcterms:W3CDTF">2022-12-13T10:51:00Z</dcterms:modified>
  <dc:language>de-DE</dc:language>
</cp:coreProperties>
</file>